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Meeting notes — dismissal and promises to pay</w:t>
      </w:r>
    </w:p>
    <w:p>
      <w:r>
        <w:t>Employer: Harbourline Fulfilment Pty Ltd · Owner/Director: Trevor Hollis · Phone (02) 9645 3120</w:t>
      </w:r>
    </w:p>
    <w:p>
      <w:r>
        <w:t>Employee: Mr Michael O'Connor, Warehouse Supervisor at Harbourline Fulfilment — Western Sydney Depot, Smithfield NSW.</w:t>
      </w:r>
    </w:p>
    <w:p>
      <w:r>
        <w:t>On 19 August 2026, Trevor Hollis told Michael by phone/text not to come in and that the supervisor role could no longer be afforded ('we'll call it restructuring').</w:t>
      </w:r>
    </w:p>
    <w:p>
      <w:r>
        <w:t>Michael asked for the decision in writing and his final pay, including unpaid wages and accrued annual leave. The owner said he would pay 'when the client pays us'.</w:t>
      </w:r>
    </w:p>
    <w:p>
      <w:r>
        <w:t>Michael was given no consultation meeting and no chance to respond before the decision.</w:t>
      </w:r>
    </w:p>
    <w:p>
      <w:r>
        <w:rPr>
          <w:color w:val="888888"/>
          <w:sz w:val="14"/>
        </w:rPr>
        <w:t>SYNTHETIC TEST DATA — fictional; for software testing only · JusticeDataStudio.com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